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8D" w:rsidRDefault="008C5F8D">
      <w:pPr>
        <w:pStyle w:val="ConsPlusNormal"/>
        <w:jc w:val="both"/>
        <w:outlineLvl w:val="0"/>
      </w:pPr>
    </w:p>
    <w:p w:rsidR="008C5F8D" w:rsidRDefault="008C5F8D">
      <w:pPr>
        <w:pStyle w:val="ConsPlusNormal"/>
        <w:outlineLvl w:val="0"/>
      </w:pPr>
      <w:r>
        <w:t>Зарегистрировано в Минюсте России 25 декабря 2012 г. N 26328</w:t>
      </w:r>
    </w:p>
    <w:p w:rsidR="008C5F8D" w:rsidRDefault="008C5F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F8D" w:rsidRDefault="008C5F8D">
      <w:pPr>
        <w:pStyle w:val="ConsPlusNormal"/>
      </w:pPr>
    </w:p>
    <w:p w:rsidR="008C5F8D" w:rsidRDefault="008C5F8D">
      <w:pPr>
        <w:pStyle w:val="ConsPlusTitle"/>
        <w:jc w:val="center"/>
      </w:pPr>
      <w:r>
        <w:t>МИНИСТЕРСТВО ЗДРАВООХРАНЕНИЯ РОССИЙСКОЙ ФЕДЕРАЦИИ</w:t>
      </w:r>
    </w:p>
    <w:p w:rsidR="008C5F8D" w:rsidRDefault="008C5F8D">
      <w:pPr>
        <w:pStyle w:val="ConsPlusTitle"/>
        <w:jc w:val="center"/>
      </w:pPr>
    </w:p>
    <w:p w:rsidR="008C5F8D" w:rsidRDefault="008C5F8D">
      <w:pPr>
        <w:pStyle w:val="ConsPlusTitle"/>
        <w:jc w:val="center"/>
      </w:pPr>
      <w:r>
        <w:t>ПРИКАЗ</w:t>
      </w:r>
    </w:p>
    <w:p w:rsidR="008C5F8D" w:rsidRDefault="008C5F8D">
      <w:pPr>
        <w:pStyle w:val="ConsPlusTitle"/>
        <w:jc w:val="center"/>
      </w:pPr>
      <w:r>
        <w:t>от 15 августа 2012 г. N 89н</w:t>
      </w:r>
    </w:p>
    <w:p w:rsidR="008C5F8D" w:rsidRDefault="008C5F8D">
      <w:pPr>
        <w:pStyle w:val="ConsPlusTitle"/>
        <w:jc w:val="center"/>
      </w:pPr>
    </w:p>
    <w:p w:rsidR="008C5F8D" w:rsidRDefault="008C5F8D">
      <w:pPr>
        <w:pStyle w:val="ConsPlusTitle"/>
        <w:jc w:val="center"/>
      </w:pPr>
      <w:r>
        <w:t>ОБ УТВЕРЖДЕНИИ ПОРЯДКА</w:t>
      </w:r>
    </w:p>
    <w:p w:rsidR="008C5F8D" w:rsidRDefault="008C5F8D">
      <w:pPr>
        <w:pStyle w:val="ConsPlusTitle"/>
        <w:jc w:val="center"/>
      </w:pPr>
      <w:r>
        <w:t>ПРОВЕДЕНИЯ ИСПЫТАНИЙ В ЦЕЛЯХ УТВЕРЖДЕНИЯ ТИПА</w:t>
      </w:r>
    </w:p>
    <w:p w:rsidR="008C5F8D" w:rsidRDefault="008C5F8D">
      <w:pPr>
        <w:pStyle w:val="ConsPlusTitle"/>
        <w:jc w:val="center"/>
      </w:pPr>
      <w:r>
        <w:t>СРЕДСТВ ИЗМЕРЕНИЙ, А ТАКЖЕ ПЕРЕЧНЯ МЕДИЦИНСКИХ ИЗДЕЛИЙ,</w:t>
      </w:r>
    </w:p>
    <w:p w:rsidR="008C5F8D" w:rsidRDefault="008C5F8D">
      <w:pPr>
        <w:pStyle w:val="ConsPlusTitle"/>
        <w:jc w:val="center"/>
      </w:pPr>
      <w:r>
        <w:t>ОТНОСЯЩИХСЯ К СРЕДСТВАМ ИЗМЕРЕНИЙ В СФЕРЕ ГОСУДАРСТВЕННОГО</w:t>
      </w:r>
    </w:p>
    <w:p w:rsidR="008C5F8D" w:rsidRDefault="008C5F8D">
      <w:pPr>
        <w:pStyle w:val="ConsPlusTitle"/>
        <w:jc w:val="center"/>
      </w:pPr>
      <w:r>
        <w:t>РЕГУЛИРОВАНИЯ ОБЕСПЕЧЕНИЯ ЕДИНСТВА ИЗМЕРЕНИЙ, В ОТНОШЕНИИ</w:t>
      </w:r>
    </w:p>
    <w:p w:rsidR="008C5F8D" w:rsidRDefault="008C5F8D">
      <w:pPr>
        <w:pStyle w:val="ConsPlusTitle"/>
        <w:jc w:val="center"/>
      </w:pPr>
      <w:r>
        <w:t>КОТОРЫХ ПРОВОДЯТСЯ ИСПЫТАНИЯ В ЦЕЛЯХ УТВЕРЖДЕНИЯ ТИПА</w:t>
      </w:r>
    </w:p>
    <w:p w:rsidR="008C5F8D" w:rsidRDefault="008C5F8D">
      <w:pPr>
        <w:pStyle w:val="ConsPlusTitle"/>
        <w:jc w:val="center"/>
      </w:pPr>
      <w:r>
        <w:t>СРЕДСТВ ИЗМЕРЕНИЙ</w:t>
      </w: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2012, N 26, ст. 3446) и </w:t>
      </w:r>
      <w:hyperlink r:id="rId7" w:history="1">
        <w:r>
          <w:rPr>
            <w:color w:val="0000FF"/>
          </w:rPr>
          <w:t>пунктом 5.2.189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8C5F8D" w:rsidRDefault="008C5F8D">
      <w:pPr>
        <w:pStyle w:val="ConsPlusNormal"/>
        <w:ind w:firstLine="540"/>
        <w:jc w:val="both"/>
      </w:pPr>
      <w:r>
        <w:t>Утвердить:</w:t>
      </w:r>
    </w:p>
    <w:p w:rsidR="008C5F8D" w:rsidRDefault="008C5F8D">
      <w:pPr>
        <w:pStyle w:val="ConsPlusNormal"/>
        <w:ind w:firstLine="540"/>
        <w:jc w:val="both"/>
      </w:pPr>
      <w:r>
        <w:t xml:space="preserve">Порядок проведения испытаний в целях утверждения типа средств измерений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измерений, согласно </w:t>
      </w:r>
      <w:hyperlink w:anchor="Par34" w:history="1">
        <w:r>
          <w:rPr>
            <w:color w:val="0000FF"/>
          </w:rPr>
          <w:t>приложению N 1</w:t>
        </w:r>
      </w:hyperlink>
      <w:r>
        <w:t>;</w:t>
      </w:r>
    </w:p>
    <w:p w:rsidR="008C5F8D" w:rsidRDefault="008C5F8D">
      <w:pPr>
        <w:pStyle w:val="ConsPlusNormal"/>
        <w:ind w:firstLine="540"/>
        <w:jc w:val="both"/>
      </w:pPr>
      <w:r>
        <w:t xml:space="preserve">Перечень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измерений, согласно </w:t>
      </w:r>
      <w:hyperlink w:anchor="Par133" w:history="1">
        <w:r>
          <w:rPr>
            <w:color w:val="0000FF"/>
          </w:rPr>
          <w:t>приложению N 2</w:t>
        </w:r>
      </w:hyperlink>
      <w:r>
        <w:t>.</w:t>
      </w:r>
    </w:p>
    <w:p w:rsidR="008C5F8D" w:rsidRDefault="008C5F8D">
      <w:pPr>
        <w:pStyle w:val="ConsPlusNormal"/>
        <w:jc w:val="right"/>
      </w:pPr>
    </w:p>
    <w:p w:rsidR="008C5F8D" w:rsidRDefault="008C5F8D">
      <w:pPr>
        <w:pStyle w:val="ConsPlusNormal"/>
        <w:jc w:val="right"/>
      </w:pPr>
      <w:r>
        <w:t>Врио Министра</w:t>
      </w:r>
    </w:p>
    <w:p w:rsidR="008C5F8D" w:rsidRDefault="008C5F8D">
      <w:pPr>
        <w:pStyle w:val="ConsPlusNormal"/>
        <w:jc w:val="right"/>
      </w:pPr>
      <w:r>
        <w:t>А.В.ЮРИН</w:t>
      </w: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jc w:val="right"/>
        <w:outlineLvl w:val="0"/>
      </w:pPr>
      <w:r>
        <w:t>Приложение N 1</w:t>
      </w:r>
    </w:p>
    <w:p w:rsidR="008C5F8D" w:rsidRDefault="008C5F8D">
      <w:pPr>
        <w:pStyle w:val="ConsPlusNormal"/>
        <w:jc w:val="right"/>
      </w:pPr>
      <w:r>
        <w:t>к приказу Министерства здравоохранения</w:t>
      </w:r>
    </w:p>
    <w:p w:rsidR="008C5F8D" w:rsidRDefault="008C5F8D">
      <w:pPr>
        <w:pStyle w:val="ConsPlusNormal"/>
        <w:jc w:val="right"/>
      </w:pPr>
      <w:r>
        <w:t>Российской Федерации</w:t>
      </w:r>
    </w:p>
    <w:p w:rsidR="008C5F8D" w:rsidRDefault="008C5F8D">
      <w:pPr>
        <w:pStyle w:val="ConsPlusNormal"/>
        <w:jc w:val="right"/>
      </w:pPr>
      <w:r>
        <w:t>от 15 августа 2012 г. N 89н</w:t>
      </w: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Title"/>
        <w:jc w:val="center"/>
      </w:pPr>
      <w:bookmarkStart w:id="0" w:name="Par34"/>
      <w:bookmarkEnd w:id="0"/>
      <w:r>
        <w:t>ПОРЯДОК</w:t>
      </w:r>
    </w:p>
    <w:p w:rsidR="008C5F8D" w:rsidRDefault="008C5F8D">
      <w:pPr>
        <w:pStyle w:val="ConsPlusTitle"/>
        <w:jc w:val="center"/>
      </w:pPr>
      <w:r>
        <w:t>ПРОВЕДЕНИЯ ИСПЫТАНИЙ В ЦЕЛЯХ УТВЕРЖДЕНИЯ ТИПА СРЕДСТВ</w:t>
      </w:r>
    </w:p>
    <w:p w:rsidR="008C5F8D" w:rsidRDefault="008C5F8D">
      <w:pPr>
        <w:pStyle w:val="ConsPlusTitle"/>
        <w:jc w:val="center"/>
      </w:pPr>
      <w:r>
        <w:t>ИЗМЕРЕНИЙ МЕДИЦИНСКИХ ИЗДЕЛИЙ, ОТНОСЯЩИХСЯ К СРЕДСТВАМ</w:t>
      </w:r>
    </w:p>
    <w:p w:rsidR="008C5F8D" w:rsidRDefault="008C5F8D">
      <w:pPr>
        <w:pStyle w:val="ConsPlusTitle"/>
        <w:jc w:val="center"/>
      </w:pPr>
      <w:r>
        <w:t>ИЗМЕРЕНИЙ В СФЕРЕ ГОСУДАРСТВЕННОГО РЕГУЛИРОВАНИЯ</w:t>
      </w:r>
    </w:p>
    <w:p w:rsidR="008C5F8D" w:rsidRDefault="008C5F8D">
      <w:pPr>
        <w:pStyle w:val="ConsPlusTitle"/>
        <w:jc w:val="center"/>
      </w:pPr>
      <w:r>
        <w:t>ОБЕСПЕЧЕНИЯ ЕДИНСТВА ИЗМЕРЕНИЙ, В ОТНОШЕНИИ КОТОРЫХ</w:t>
      </w:r>
    </w:p>
    <w:p w:rsidR="008C5F8D" w:rsidRDefault="008C5F8D">
      <w:pPr>
        <w:pStyle w:val="ConsPlusTitle"/>
        <w:jc w:val="center"/>
      </w:pPr>
      <w:r>
        <w:t>ПРОВОДЯТСЯ ИСПЫТАНИЯ В ЦЕЛЯХ УТВЕРЖДЕНИЯ ТИПА</w:t>
      </w:r>
    </w:p>
    <w:p w:rsidR="008C5F8D" w:rsidRDefault="008C5F8D">
      <w:pPr>
        <w:pStyle w:val="ConsPlusTitle"/>
        <w:jc w:val="center"/>
      </w:pPr>
      <w:r>
        <w:t>СРЕДСТВ ИЗМЕРЕНИЙ</w:t>
      </w:r>
    </w:p>
    <w:p w:rsidR="008C5F8D" w:rsidRDefault="008C5F8D">
      <w:pPr>
        <w:pStyle w:val="ConsPlusNormal"/>
        <w:jc w:val="center"/>
      </w:pPr>
    </w:p>
    <w:p w:rsidR="008C5F8D" w:rsidRDefault="008C5F8D">
      <w:pPr>
        <w:pStyle w:val="ConsPlusNormal"/>
        <w:ind w:firstLine="540"/>
        <w:jc w:val="both"/>
      </w:pPr>
      <w:r>
        <w:t xml:space="preserve">1. Настоящий Порядок в целях государственной регистрации медицинских изделий устанавливает правила проведения испытаний в целях утверждения типа средств измерений медицинских изделий, относящихся к средствам измерений в сфере государственного регулирования обеспечения единства измерений (далее соответственно - испытания в целях утверждения типа, медицинские изделия), уполномоченным федеральным </w:t>
      </w:r>
      <w:hyperlink r:id="rId8" w:history="1">
        <w:r>
          <w:rPr>
            <w:color w:val="0000FF"/>
          </w:rPr>
          <w:t>органом</w:t>
        </w:r>
      </w:hyperlink>
      <w:r>
        <w:t xml:space="preserve"> исполнительной власти в сфере государственного регулирования обеспечения единства измерений.</w:t>
      </w:r>
    </w:p>
    <w:p w:rsidR="008C5F8D" w:rsidRDefault="008C5F8D">
      <w:pPr>
        <w:pStyle w:val="ConsPlusNormal"/>
        <w:ind w:firstLine="540"/>
        <w:jc w:val="both"/>
      </w:pPr>
      <w:r>
        <w:t xml:space="preserve">2. Испытаниям в целях утверждения типа подлежат медицинские изделия, включенные в </w:t>
      </w:r>
      <w:hyperlink w:anchor="Par133" w:history="1">
        <w:r>
          <w:rPr>
            <w:color w:val="0000FF"/>
          </w:rPr>
          <w:t>Перечень</w:t>
        </w:r>
      </w:hyperlink>
      <w:r>
        <w:t xml:space="preserve"> медицинских изделий, относящихся к средствам измерений в сфере государственного регулирования </w:t>
      </w:r>
      <w:r>
        <w:lastRenderedPageBreak/>
        <w:t>обеспечения единства измерений, в отношении которых проводятся испытания в целях утверждения типа средств измерений, утвержденный настоящим приказом.</w:t>
      </w:r>
    </w:p>
    <w:p w:rsidR="008C5F8D" w:rsidRDefault="008C5F8D">
      <w:pPr>
        <w:pStyle w:val="ConsPlusNormal"/>
        <w:ind w:firstLine="540"/>
        <w:jc w:val="both"/>
      </w:pPr>
      <w:r>
        <w:t>3. Заявителями на проведение испытаний в целях утверждения типа (далее - заявитель) являются:</w:t>
      </w:r>
    </w:p>
    <w:p w:rsidR="008C5F8D" w:rsidRDefault="008C5F8D">
      <w:pPr>
        <w:pStyle w:val="ConsPlusNormal"/>
        <w:ind w:firstLine="540"/>
        <w:jc w:val="both"/>
      </w:pPr>
      <w:r>
        <w:t>1) производитель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2) уполномоченный представитель производителя медицинского изделия, являющийся юридическим лицом, зарегистрированным на территории Российской Федерации, уполномоченный производителем медицинского изделия представлять его интересы по вопросам обращения медицинского изделия на территории Российской Федерации, в том числе связанных с ним процедур оценки соответствия, государственной регистрации, и на имя которого может быть выдано регистрационное удостоверение на медицинское изделие.</w:t>
      </w:r>
    </w:p>
    <w:p w:rsidR="008C5F8D" w:rsidRDefault="008C5F8D">
      <w:pPr>
        <w:pStyle w:val="ConsPlusNormal"/>
        <w:ind w:firstLine="540"/>
        <w:jc w:val="both"/>
      </w:pPr>
      <w:r>
        <w:t xml:space="preserve">4. Испытания в целях утверждения типа проводятся организациями, аккредитованными на выполнение испытаний средств измерений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измерений, область аккредитации которых предусматривает проведение испытаний в целях утверждения типа средств измерений медицинских изделий (далее - испытатель).</w:t>
      </w:r>
    </w:p>
    <w:p w:rsidR="008C5F8D" w:rsidRDefault="008C5F8D">
      <w:pPr>
        <w:pStyle w:val="ConsPlusNormal"/>
        <w:ind w:firstLine="540"/>
        <w:jc w:val="both"/>
      </w:pPr>
      <w:r>
        <w:t xml:space="preserve">Сведения об областях аккредитации испытателей заявитель получает от федерального </w:t>
      </w:r>
      <w:hyperlink r:id="rId10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аккредитацию в области обеспечения единства измерений, или из государственного реестра аккредитованных организаций, осуществляющих деятельность по обеспечению единства измерений.</w:t>
      </w:r>
    </w:p>
    <w:p w:rsidR="008C5F8D" w:rsidRDefault="008C5F8D">
      <w:pPr>
        <w:pStyle w:val="ConsPlusNormal"/>
        <w:ind w:firstLine="540"/>
        <w:jc w:val="both"/>
      </w:pPr>
      <w:r>
        <w:t xml:space="preserve">5. Для проведения испытаний в целях утверждения типа заявитель направляет испытателю заявку на проведение испытаний в целях утверждения типа (далее - заявка), а также документы, указанные в </w:t>
      </w:r>
      <w:hyperlink w:anchor="Par62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8C5F8D" w:rsidRDefault="008C5F8D">
      <w:pPr>
        <w:pStyle w:val="ConsPlusNormal"/>
        <w:ind w:firstLine="540"/>
        <w:jc w:val="both"/>
      </w:pPr>
      <w:r>
        <w:t>6. В заявке указываются:</w:t>
      </w:r>
    </w:p>
    <w:p w:rsidR="008C5F8D" w:rsidRDefault="008C5F8D">
      <w:pPr>
        <w:pStyle w:val="ConsPlusNormal"/>
        <w:ind w:firstLine="540"/>
        <w:jc w:val="both"/>
      </w:pPr>
      <w:r>
        <w:t>1)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:rsidR="008C5F8D" w:rsidRDefault="008C5F8D">
      <w:pPr>
        <w:pStyle w:val="ConsPlusNormal"/>
        <w:ind w:firstLine="540"/>
        <w:jc w:val="both"/>
      </w:pPr>
      <w:r>
        <w:t>2) номер заявки;</w:t>
      </w:r>
    </w:p>
    <w:p w:rsidR="008C5F8D" w:rsidRDefault="008C5F8D">
      <w:pPr>
        <w:pStyle w:val="ConsPlusNormal"/>
        <w:ind w:firstLine="540"/>
        <w:jc w:val="both"/>
      </w:pPr>
      <w:r>
        <w:t>3) сведения о производителе медицинского изделия:</w:t>
      </w:r>
    </w:p>
    <w:p w:rsidR="008C5F8D" w:rsidRDefault="008C5F8D">
      <w:pPr>
        <w:pStyle w:val="ConsPlusNormal"/>
        <w:ind w:firstLine="540"/>
        <w:jc w:val="both"/>
      </w:pPr>
      <w:r>
        <w:t>полное и (если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 также номера телефонов и (в случае, если имеется) адрес электронной почты юридического лица;</w:t>
      </w:r>
    </w:p>
    <w:p w:rsidR="008C5F8D" w:rsidRDefault="008C5F8D">
      <w:pPr>
        <w:pStyle w:val="ConsPlusNormal"/>
        <w:ind w:firstLine="540"/>
        <w:jc w:val="both"/>
      </w:pPr>
      <w:r>
        <w:t>4) сведения об уполномоченном представителе производителя медицинского изделия:</w:t>
      </w:r>
    </w:p>
    <w:p w:rsidR="008C5F8D" w:rsidRDefault="008C5F8D">
      <w:pPr>
        <w:pStyle w:val="ConsPlusNormal"/>
        <w:ind w:firstLine="540"/>
        <w:jc w:val="both"/>
      </w:pPr>
      <w:r>
        <w:t>полное и (если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 также номера телефонов и (в случае, если имеется) адрес электронной почты юридического лица;</w:t>
      </w:r>
    </w:p>
    <w:p w:rsidR="008C5F8D" w:rsidRDefault="008C5F8D">
      <w:pPr>
        <w:pStyle w:val="ConsPlusNormal"/>
        <w:ind w:firstLine="540"/>
        <w:jc w:val="both"/>
      </w:pPr>
      <w:r>
        <w:t>5) адреса мест производства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6) назначение медицинского изделия, установленное производителем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7) вид медицинского изделия в соответствии с номенклатурной классификацией медицинских изделий;</w:t>
      </w:r>
    </w:p>
    <w:p w:rsidR="008C5F8D" w:rsidRDefault="008C5F8D">
      <w:pPr>
        <w:pStyle w:val="ConsPlusNormal"/>
        <w:ind w:firstLine="540"/>
        <w:jc w:val="both"/>
      </w:pPr>
      <w:r>
        <w:t>8) класс потенциального риска применения медицинского изделия в соответствии с номенклатурной классификацией медицинских изделий;</w:t>
      </w:r>
    </w:p>
    <w:p w:rsidR="008C5F8D" w:rsidRDefault="008C5F8D">
      <w:pPr>
        <w:pStyle w:val="ConsPlusNormal"/>
        <w:ind w:firstLine="540"/>
        <w:jc w:val="both"/>
      </w:pPr>
      <w:r>
        <w:t>9) код Общероссийского классификатора продукции для медицинского изделия.</w:t>
      </w:r>
    </w:p>
    <w:p w:rsidR="008C5F8D" w:rsidRDefault="008C5F8D">
      <w:pPr>
        <w:pStyle w:val="ConsPlusNormal"/>
        <w:ind w:firstLine="540"/>
        <w:jc w:val="both"/>
      </w:pPr>
      <w:bookmarkStart w:id="1" w:name="Par62"/>
      <w:bookmarkEnd w:id="1"/>
      <w:r>
        <w:t>7. К заявке прилагаются:</w:t>
      </w:r>
    </w:p>
    <w:p w:rsidR="008C5F8D" w:rsidRDefault="008C5F8D">
      <w:pPr>
        <w:pStyle w:val="ConsPlusNormal"/>
        <w:ind w:firstLine="540"/>
        <w:jc w:val="both"/>
      </w:pPr>
      <w:r>
        <w:t>1) заверенная в установленном порядке копия документа, подтверждающего полномочия представителя производителя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2) нормативная документация на медицинское изделие;</w:t>
      </w:r>
    </w:p>
    <w:p w:rsidR="008C5F8D" w:rsidRDefault="008C5F8D">
      <w:pPr>
        <w:pStyle w:val="ConsPlusNormal"/>
        <w:ind w:firstLine="540"/>
        <w:jc w:val="both"/>
      </w:pPr>
      <w:r>
        <w:t>3) техническая документация на медицинское изделие;</w:t>
      </w:r>
    </w:p>
    <w:p w:rsidR="008C5F8D" w:rsidRDefault="008C5F8D">
      <w:pPr>
        <w:pStyle w:val="ConsPlusNormal"/>
        <w:ind w:firstLine="540"/>
        <w:jc w:val="both"/>
      </w:pPr>
      <w:r>
        <w:t>4) эксплуатационная документация на медицинское изделие, в том числе инструкция по применению или руководство по эксплуатации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5) 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x 24 см);</w:t>
      </w:r>
    </w:p>
    <w:p w:rsidR="008C5F8D" w:rsidRDefault="008C5F8D">
      <w:pPr>
        <w:pStyle w:val="ConsPlusNormal"/>
        <w:ind w:firstLine="540"/>
        <w:jc w:val="both"/>
      </w:pPr>
      <w:r>
        <w:t>6) документы, подтверждающие результаты технических испытаний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7) заявляемые метрологические и технические характеристики медицинского изделия, подлежащие проверке при испытаниях в целях утверждения типа, включая показатели точности;</w:t>
      </w:r>
    </w:p>
    <w:p w:rsidR="008C5F8D" w:rsidRDefault="008C5F8D">
      <w:pPr>
        <w:pStyle w:val="ConsPlusNormal"/>
        <w:ind w:firstLine="540"/>
        <w:jc w:val="both"/>
      </w:pPr>
      <w:r>
        <w:t>8) сведения о наличии программного продукта, используемого для функционирования медицинского изделия и получения результатов измерений;</w:t>
      </w:r>
    </w:p>
    <w:p w:rsidR="008C5F8D" w:rsidRDefault="008C5F8D">
      <w:pPr>
        <w:pStyle w:val="ConsPlusNormal"/>
        <w:ind w:firstLine="540"/>
        <w:jc w:val="both"/>
      </w:pPr>
      <w:r>
        <w:t>9) сведения об обязательных метрологических и технических требованиях к медицинскому изделию (при наличии).</w:t>
      </w:r>
    </w:p>
    <w:p w:rsidR="008C5F8D" w:rsidRDefault="008C5F8D">
      <w:pPr>
        <w:pStyle w:val="ConsPlusNormal"/>
        <w:ind w:firstLine="540"/>
        <w:jc w:val="both"/>
      </w:pPr>
      <w:r>
        <w:t>Заявитель вправе представить иные документы и информацию испытателю по собственной инициативе.</w:t>
      </w:r>
    </w:p>
    <w:p w:rsidR="008C5F8D" w:rsidRDefault="008C5F8D">
      <w:pPr>
        <w:pStyle w:val="ConsPlusNormal"/>
        <w:ind w:firstLine="540"/>
        <w:jc w:val="both"/>
      </w:pPr>
      <w:bookmarkStart w:id="2" w:name="Par73"/>
      <w:bookmarkEnd w:id="2"/>
      <w:r>
        <w:t xml:space="preserve">8. Все документы для проведения испытаний в целях утверждения типа должны представляться на </w:t>
      </w:r>
      <w:r>
        <w:lastRenderedPageBreak/>
        <w:t xml:space="preserve">русском языке. В случае если оригиналы документов составлены на иностранном языке, они представляются с заверенным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8C5F8D" w:rsidRDefault="008C5F8D">
      <w:pPr>
        <w:pStyle w:val="ConsPlusNormal"/>
        <w:ind w:firstLine="540"/>
        <w:jc w:val="both"/>
      </w:pPr>
      <w:r>
        <w:t>9. Испытатель рассматривает заявку и приложенные к ней документы, принимает решение о возможности проведения испытаний в целях утверждения типа и в четырнадцатидневный срок после получения заявки:</w:t>
      </w:r>
    </w:p>
    <w:p w:rsidR="008C5F8D" w:rsidRDefault="008C5F8D">
      <w:pPr>
        <w:pStyle w:val="ConsPlusNormal"/>
        <w:ind w:firstLine="540"/>
        <w:jc w:val="both"/>
      </w:pPr>
      <w:r>
        <w:t>1) при положительном решении направляет заявителю проект договора (контракта) на проведение испытаний в целях утверждения типа;</w:t>
      </w:r>
    </w:p>
    <w:p w:rsidR="008C5F8D" w:rsidRDefault="008C5F8D">
      <w:pPr>
        <w:pStyle w:val="ConsPlusNormal"/>
        <w:ind w:firstLine="540"/>
        <w:jc w:val="both"/>
      </w:pPr>
      <w:r>
        <w:t>2) при отрицательном решении (отказе в проведении испытаний в целях утверждения типа) направляет заявителю письмо с мотивированным обоснованием принятого решения.</w:t>
      </w:r>
    </w:p>
    <w:p w:rsidR="008C5F8D" w:rsidRDefault="008C5F8D">
      <w:pPr>
        <w:pStyle w:val="ConsPlusNormal"/>
        <w:ind w:firstLine="540"/>
        <w:jc w:val="both"/>
      </w:pPr>
      <w:r>
        <w:t xml:space="preserve">10. Основанием для принятия испытателем решения об отказе в проведении испытаний в целях утверждения типа является несоответствие представленных документов положениям </w:t>
      </w:r>
      <w:hyperlink w:anchor="Par62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ar73" w:history="1">
        <w:r>
          <w:rPr>
            <w:color w:val="0000FF"/>
          </w:rPr>
          <w:t>8</w:t>
        </w:r>
      </w:hyperlink>
      <w:r>
        <w:t xml:space="preserve"> настоящего Порядка, а также положениям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испытаний стандартных образцов или средств измерений в целях утверждения типа, утвержденного приказом Министерства промышленности и торговли Российской Федерации от 30 ноября 2009 г. N 1081 (зарегистрирован Министерством юстиции Российской Федерации 25 декабря 2009 г., регистрационный N 15866) (далее - приказ Минпромторга России от 30 ноября 2009 г. N 1081).</w:t>
      </w:r>
    </w:p>
    <w:p w:rsidR="008C5F8D" w:rsidRDefault="008C5F8D">
      <w:pPr>
        <w:pStyle w:val="ConsPlusNormal"/>
        <w:ind w:firstLine="540"/>
        <w:jc w:val="both"/>
      </w:pPr>
      <w:r>
        <w:t>11. Испытатель после подписания договора (контракта) разрабатывает, согласовывает с заявителем и утверждает программу испытаний в целях утверждения типа.</w:t>
      </w:r>
    </w:p>
    <w:p w:rsidR="008C5F8D" w:rsidRDefault="008C5F8D">
      <w:pPr>
        <w:pStyle w:val="ConsPlusNormal"/>
        <w:ind w:firstLine="540"/>
        <w:jc w:val="both"/>
      </w:pPr>
      <w:r>
        <w:t xml:space="preserve">12. Программа испытаний в целях утверждения типа разрабатывается в соответствии с </w:t>
      </w:r>
      <w:hyperlink r:id="rId13" w:history="1">
        <w:r>
          <w:rPr>
            <w:color w:val="0000FF"/>
          </w:rPr>
          <w:t>пунктом 24</w:t>
        </w:r>
      </w:hyperlink>
      <w:r>
        <w:t xml:space="preserve"> Порядка проведения испытаний стандартных образцов или средств измерений в целях утверждения типа, утвержденного приказом Минпромторга России от 30 ноября 2009 г. N 1081.</w:t>
      </w:r>
    </w:p>
    <w:p w:rsidR="008C5F8D" w:rsidRDefault="008C5F8D">
      <w:pPr>
        <w:pStyle w:val="ConsPlusNormal"/>
        <w:ind w:firstLine="540"/>
        <w:jc w:val="both"/>
      </w:pPr>
      <w:r>
        <w:t>13. Программа испытаний в целях утверждения типа должна предусматривать:</w:t>
      </w:r>
    </w:p>
    <w:p w:rsidR="008C5F8D" w:rsidRDefault="008C5F8D">
      <w:pPr>
        <w:pStyle w:val="ConsPlusNormal"/>
        <w:ind w:firstLine="540"/>
        <w:jc w:val="both"/>
      </w:pPr>
      <w:r>
        <w:t>1) определение метрологических характеристик медицинского изделия, в том числе показателей точности, выраженных в единицах величин, допущенных к применению на территории Российской Федерации;</w:t>
      </w:r>
    </w:p>
    <w:p w:rsidR="008C5F8D" w:rsidRDefault="008C5F8D">
      <w:pPr>
        <w:pStyle w:val="ConsPlusNormal"/>
        <w:ind w:firstLine="540"/>
        <w:jc w:val="both"/>
      </w:pPr>
      <w:r>
        <w:t>2) проверку выполнения обязательных метрологических и технических требований к медицинскому изделию (при их наличии), в том числе требований к его составным частям, программному обеспечению и условиям эксплуатации;</w:t>
      </w:r>
    </w:p>
    <w:p w:rsidR="008C5F8D" w:rsidRDefault="008C5F8D">
      <w:pPr>
        <w:pStyle w:val="ConsPlusNormal"/>
        <w:ind w:firstLine="540"/>
        <w:jc w:val="both"/>
      </w:pPr>
      <w:r>
        <w:t>3) идентификацию программного обеспечения и оценку его влияния на метрологические характеристики медицинского изделия (при наличии программного обеспечения);</w:t>
      </w:r>
    </w:p>
    <w:p w:rsidR="008C5F8D" w:rsidRDefault="008C5F8D">
      <w:pPr>
        <w:pStyle w:val="ConsPlusNormal"/>
        <w:ind w:firstLine="540"/>
        <w:jc w:val="both"/>
      </w:pPr>
      <w:r>
        <w:t>4) разработку или выбор методики поверки и ее опробование;</w:t>
      </w:r>
    </w:p>
    <w:p w:rsidR="008C5F8D" w:rsidRDefault="008C5F8D">
      <w:pPr>
        <w:pStyle w:val="ConsPlusNormal"/>
        <w:ind w:firstLine="540"/>
        <w:jc w:val="both"/>
      </w:pPr>
      <w:r>
        <w:t>5) определение необходимости проведения периодической поверки;</w:t>
      </w:r>
    </w:p>
    <w:p w:rsidR="008C5F8D" w:rsidRDefault="008C5F8D">
      <w:pPr>
        <w:pStyle w:val="ConsPlusNormal"/>
        <w:ind w:firstLine="540"/>
        <w:jc w:val="both"/>
      </w:pPr>
      <w:r>
        <w:t>6) определение интервала между периодическими поверками;</w:t>
      </w:r>
    </w:p>
    <w:p w:rsidR="008C5F8D" w:rsidRDefault="008C5F8D">
      <w:pPr>
        <w:pStyle w:val="ConsPlusNormal"/>
        <w:ind w:firstLine="540"/>
        <w:jc w:val="both"/>
      </w:pPr>
      <w:r>
        <w:t>7) анализ конструкции испытываемого медицинского изделия на наличие ограничений доступа к определенным его частям (включая программное обеспечение) с целью предотвращения несанкционированной настройки и вмешательства, которые могут привести к искажению результатов измерений, выполняемых медицинским изделием.</w:t>
      </w:r>
    </w:p>
    <w:p w:rsidR="008C5F8D" w:rsidRDefault="008C5F8D">
      <w:pPr>
        <w:pStyle w:val="ConsPlusNormal"/>
        <w:ind w:firstLine="540"/>
        <w:jc w:val="both"/>
      </w:pPr>
      <w:r>
        <w:t>14. Заявитель после утверждения программы испытаний в целях утверждения типа представляет образцы медицинского изделия на испытания в целях утверждения типа.</w:t>
      </w:r>
    </w:p>
    <w:p w:rsidR="008C5F8D" w:rsidRDefault="008C5F8D">
      <w:pPr>
        <w:pStyle w:val="ConsPlusNormal"/>
        <w:ind w:firstLine="540"/>
        <w:jc w:val="both"/>
      </w:pPr>
      <w:r>
        <w:t>15. Испытатель проводит испытания в целях утверждения типа в соответствии с программой испытаний в целях утверждения типа.</w:t>
      </w:r>
    </w:p>
    <w:p w:rsidR="008C5F8D" w:rsidRDefault="008C5F8D">
      <w:pPr>
        <w:pStyle w:val="ConsPlusNormal"/>
        <w:ind w:firstLine="540"/>
        <w:jc w:val="both"/>
      </w:pPr>
      <w:r>
        <w:t>16. Результаты конкретных испытаний, предусмотренных программой испытаний в целях утверждения типа, оформляются протоколами соответствующих испытаний.</w:t>
      </w:r>
    </w:p>
    <w:p w:rsidR="008C5F8D" w:rsidRDefault="008C5F8D">
      <w:pPr>
        <w:pStyle w:val="ConsPlusNormal"/>
        <w:ind w:firstLine="540"/>
        <w:jc w:val="both"/>
      </w:pPr>
      <w:r>
        <w:t>17. В протоколах испытаний указываются:</w:t>
      </w:r>
    </w:p>
    <w:p w:rsidR="008C5F8D" w:rsidRDefault="008C5F8D">
      <w:pPr>
        <w:pStyle w:val="ConsPlusNormal"/>
        <w:ind w:firstLine="540"/>
        <w:jc w:val="both"/>
      </w:pPr>
      <w:r>
        <w:t>1) наименование протокола испытаний;</w:t>
      </w:r>
    </w:p>
    <w:p w:rsidR="008C5F8D" w:rsidRDefault="008C5F8D">
      <w:pPr>
        <w:pStyle w:val="ConsPlusNormal"/>
        <w:ind w:firstLine="540"/>
        <w:jc w:val="both"/>
      </w:pPr>
      <w:r>
        <w:t>2) сведения о представленных для проведения испытаний образцах медицинского изделия (наименование медицинского изделия, заводские номера представленных образцов);</w:t>
      </w:r>
    </w:p>
    <w:p w:rsidR="008C5F8D" w:rsidRDefault="008C5F8D">
      <w:pPr>
        <w:pStyle w:val="ConsPlusNormal"/>
        <w:ind w:firstLine="540"/>
        <w:jc w:val="both"/>
      </w:pPr>
      <w:r>
        <w:t>3) перечень пунктов программы испытаний в целях утверждения типа, по которым проведены испытания;</w:t>
      </w:r>
    </w:p>
    <w:p w:rsidR="008C5F8D" w:rsidRDefault="008C5F8D">
      <w:pPr>
        <w:pStyle w:val="ConsPlusNormal"/>
        <w:ind w:firstLine="540"/>
        <w:jc w:val="both"/>
      </w:pPr>
      <w:r>
        <w:t>4) результаты испытаний.</w:t>
      </w:r>
    </w:p>
    <w:p w:rsidR="008C5F8D" w:rsidRDefault="008C5F8D">
      <w:pPr>
        <w:pStyle w:val="ConsPlusNormal"/>
        <w:ind w:firstLine="540"/>
        <w:jc w:val="both"/>
      </w:pPr>
      <w:r>
        <w:t>18. По результатам испытаний испытатель оформляет акт испытаний в целях утверждения типа.</w:t>
      </w:r>
    </w:p>
    <w:p w:rsidR="008C5F8D" w:rsidRDefault="008C5F8D">
      <w:pPr>
        <w:pStyle w:val="ConsPlusNormal"/>
        <w:ind w:firstLine="540"/>
        <w:jc w:val="both"/>
      </w:pPr>
      <w:r>
        <w:t>19. В акте испытаний в целях утверждения типа указываются:</w:t>
      </w:r>
    </w:p>
    <w:p w:rsidR="008C5F8D" w:rsidRDefault="008C5F8D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2) дата подписания акта испытаний в целях утверждения типа, его регистрационный номер (при наличии);</w:t>
      </w:r>
    </w:p>
    <w:p w:rsidR="008C5F8D" w:rsidRDefault="008C5F8D">
      <w:pPr>
        <w:pStyle w:val="ConsPlusNormal"/>
        <w:ind w:firstLine="540"/>
        <w:jc w:val="both"/>
      </w:pPr>
      <w:r>
        <w:t>3) сведения о проведении испытаний:</w:t>
      </w:r>
    </w:p>
    <w:p w:rsidR="008C5F8D" w:rsidRDefault="008C5F8D">
      <w:pPr>
        <w:pStyle w:val="ConsPlusNormal"/>
        <w:ind w:firstLine="540"/>
        <w:jc w:val="both"/>
      </w:pPr>
      <w:r>
        <w:t>а) наименование заявителя;</w:t>
      </w:r>
    </w:p>
    <w:p w:rsidR="008C5F8D" w:rsidRDefault="008C5F8D">
      <w:pPr>
        <w:pStyle w:val="ConsPlusNormal"/>
        <w:ind w:firstLine="540"/>
        <w:jc w:val="both"/>
      </w:pPr>
      <w:r>
        <w:t>б) наименование испытателя с указанием номера аттестата аккредитации испытателя;</w:t>
      </w:r>
    </w:p>
    <w:p w:rsidR="008C5F8D" w:rsidRDefault="008C5F8D">
      <w:pPr>
        <w:pStyle w:val="ConsPlusNormal"/>
        <w:ind w:firstLine="540"/>
        <w:jc w:val="both"/>
      </w:pPr>
      <w:r>
        <w:t>в) наименование производителя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lastRenderedPageBreak/>
        <w:t>г) сроки проведения испытаний в целях утверждения типа;</w:t>
      </w:r>
    </w:p>
    <w:p w:rsidR="008C5F8D" w:rsidRDefault="008C5F8D">
      <w:pPr>
        <w:pStyle w:val="ConsPlusNormal"/>
        <w:ind w:firstLine="540"/>
        <w:jc w:val="both"/>
      </w:pPr>
      <w:r>
        <w:t>д) основание проведения испытаний в целях утверждения типа с указанием даты и номера заявления на проведение испытаний в целях утверждения типа;</w:t>
      </w:r>
    </w:p>
    <w:p w:rsidR="008C5F8D" w:rsidRDefault="008C5F8D">
      <w:pPr>
        <w:pStyle w:val="ConsPlusNormal"/>
        <w:ind w:firstLine="540"/>
        <w:jc w:val="both"/>
      </w:pPr>
      <w:r>
        <w:t>е) место проведения испытаний в целях утверждения типа;</w:t>
      </w:r>
    </w:p>
    <w:p w:rsidR="008C5F8D" w:rsidRDefault="008C5F8D">
      <w:pPr>
        <w:pStyle w:val="ConsPlusNormal"/>
        <w:ind w:firstLine="540"/>
        <w:jc w:val="both"/>
      </w:pPr>
      <w:r>
        <w:t>4) сведения о представленных для проведения испытаний в целях утверждения типа образцах медицинского изделия:</w:t>
      </w:r>
    </w:p>
    <w:p w:rsidR="008C5F8D" w:rsidRDefault="008C5F8D">
      <w:pPr>
        <w:pStyle w:val="ConsPlusNormal"/>
        <w:ind w:firstLine="540"/>
        <w:jc w:val="both"/>
      </w:pPr>
      <w:r>
        <w:t>а) наименование типа испытанного образца медицинского изделия;</w:t>
      </w:r>
    </w:p>
    <w:p w:rsidR="008C5F8D" w:rsidRDefault="008C5F8D">
      <w:pPr>
        <w:pStyle w:val="ConsPlusNormal"/>
        <w:ind w:firstLine="540"/>
        <w:jc w:val="both"/>
      </w:pPr>
      <w:r>
        <w:t>б) заводские номера представленных образцов;</w:t>
      </w:r>
    </w:p>
    <w:p w:rsidR="008C5F8D" w:rsidRDefault="008C5F8D">
      <w:pPr>
        <w:pStyle w:val="ConsPlusNormal"/>
        <w:ind w:firstLine="540"/>
        <w:jc w:val="both"/>
      </w:pPr>
      <w:r>
        <w:t>5) общие сведения о результатах испытаний в целях утверждения типа:</w:t>
      </w:r>
    </w:p>
    <w:p w:rsidR="008C5F8D" w:rsidRDefault="008C5F8D">
      <w:pPr>
        <w:pStyle w:val="ConsPlusNormal"/>
        <w:ind w:firstLine="540"/>
        <w:jc w:val="both"/>
      </w:pPr>
      <w:r>
        <w:t>а) наименование программы испытаний в целях утверждения типа, в соответствии с которой испытания проведены;</w:t>
      </w:r>
    </w:p>
    <w:p w:rsidR="008C5F8D" w:rsidRDefault="008C5F8D">
      <w:pPr>
        <w:pStyle w:val="ConsPlusNormal"/>
        <w:ind w:firstLine="540"/>
        <w:jc w:val="both"/>
      </w:pPr>
      <w:r>
        <w:t>6) оценка результатов испытаний (положительная или отрицательная);</w:t>
      </w:r>
    </w:p>
    <w:p w:rsidR="008C5F8D" w:rsidRDefault="008C5F8D">
      <w:pPr>
        <w:pStyle w:val="ConsPlusNormal"/>
        <w:ind w:firstLine="540"/>
        <w:jc w:val="both"/>
      </w:pPr>
      <w:r>
        <w:t>7) детализированные сведения по результатам испытаний:</w:t>
      </w:r>
    </w:p>
    <w:p w:rsidR="008C5F8D" w:rsidRDefault="008C5F8D">
      <w:pPr>
        <w:pStyle w:val="ConsPlusNormal"/>
        <w:ind w:firstLine="540"/>
        <w:jc w:val="both"/>
      </w:pPr>
      <w:r>
        <w:t>а) установленные значения метрологических и других технических характеристик;</w:t>
      </w:r>
    </w:p>
    <w:p w:rsidR="008C5F8D" w:rsidRDefault="008C5F8D">
      <w:pPr>
        <w:pStyle w:val="ConsPlusNormal"/>
        <w:ind w:firstLine="540"/>
        <w:jc w:val="both"/>
      </w:pPr>
      <w:r>
        <w:t>б) факт опробования методики поверки с приведением информации о ней;</w:t>
      </w:r>
    </w:p>
    <w:p w:rsidR="008C5F8D" w:rsidRDefault="008C5F8D">
      <w:pPr>
        <w:pStyle w:val="ConsPlusNormal"/>
        <w:ind w:firstLine="540"/>
        <w:jc w:val="both"/>
      </w:pPr>
      <w:r>
        <w:t>в) рекомендованный интервал между поверками;</w:t>
      </w:r>
    </w:p>
    <w:p w:rsidR="008C5F8D" w:rsidRDefault="008C5F8D">
      <w:pPr>
        <w:pStyle w:val="ConsPlusNormal"/>
        <w:ind w:firstLine="540"/>
        <w:jc w:val="both"/>
      </w:pPr>
      <w:r>
        <w:t>8) проект описания типа средства измерений;</w:t>
      </w:r>
    </w:p>
    <w:p w:rsidR="008C5F8D" w:rsidRDefault="008C5F8D">
      <w:pPr>
        <w:pStyle w:val="ConsPlusNormal"/>
        <w:ind w:firstLine="540"/>
        <w:jc w:val="both"/>
      </w:pPr>
      <w:r>
        <w:t>9) сведения о результатах проверки соблюдения обязательных метрологических и технических требований к средствам измерений (при наличии в программе испытаний).</w:t>
      </w:r>
    </w:p>
    <w:p w:rsidR="008C5F8D" w:rsidRDefault="008C5F8D">
      <w:pPr>
        <w:pStyle w:val="ConsPlusNormal"/>
        <w:ind w:firstLine="540"/>
        <w:jc w:val="both"/>
      </w:pPr>
      <w:r>
        <w:t>Протоколы всех проведенных испытаний, проект описания типа средства измерений и методика поверки составляют приложение к акту испытаний в целях утверждения типа и являются его неотъемлемой частью.</w:t>
      </w:r>
    </w:p>
    <w:p w:rsidR="008C5F8D" w:rsidRDefault="008C5F8D">
      <w:pPr>
        <w:pStyle w:val="ConsPlusNormal"/>
        <w:ind w:firstLine="540"/>
        <w:jc w:val="both"/>
      </w:pPr>
      <w:r>
        <w:t>20. Акт испытаний в целях утверждения типа оформляется на бланке испытателя в двух экземплярах и подписывается руководителем и представителями организации испытателя (с указанием даты), заверяется гербовой печатью испытателя.</w:t>
      </w:r>
    </w:p>
    <w:p w:rsidR="008C5F8D" w:rsidRDefault="008C5F8D">
      <w:pPr>
        <w:pStyle w:val="ConsPlusNormal"/>
        <w:ind w:firstLine="540"/>
        <w:jc w:val="both"/>
      </w:pPr>
      <w:r>
        <w:t>21. Один экземпляр акта испытаний в целях утверждения типа с приложением направляется заявителю в срок, не превышающий три рабочих дня с даты оформления, для представления в федеральный орган исполнительной власти Российской Федерации, осуществляющий государственную регистрацию медицинских изделий.</w:t>
      </w:r>
    </w:p>
    <w:p w:rsidR="008C5F8D" w:rsidRDefault="008C5F8D">
      <w:pPr>
        <w:pStyle w:val="ConsPlusNormal"/>
        <w:ind w:firstLine="540"/>
        <w:jc w:val="both"/>
      </w:pPr>
      <w:r>
        <w:t xml:space="preserve">22. Утверждение типа средства измерений и выдача свидетельства об утверждении типа средств измерений осуществляется на основании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Минпромторга России от 30 ноября 2009 г. N 1081.</w:t>
      </w: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ind w:firstLine="540"/>
        <w:jc w:val="both"/>
      </w:pPr>
    </w:p>
    <w:p w:rsidR="008C5F8D" w:rsidRDefault="008C5F8D">
      <w:pPr>
        <w:pStyle w:val="ConsPlusNormal"/>
        <w:jc w:val="right"/>
        <w:outlineLvl w:val="0"/>
      </w:pPr>
      <w:r>
        <w:t>Приложение N 2</w:t>
      </w:r>
    </w:p>
    <w:p w:rsidR="008C5F8D" w:rsidRDefault="008C5F8D">
      <w:pPr>
        <w:pStyle w:val="ConsPlusNormal"/>
        <w:jc w:val="right"/>
      </w:pPr>
      <w:r>
        <w:t>к приказу Министерства здравоохранения</w:t>
      </w:r>
    </w:p>
    <w:p w:rsidR="008C5F8D" w:rsidRDefault="008C5F8D">
      <w:pPr>
        <w:pStyle w:val="ConsPlusNormal"/>
        <w:jc w:val="right"/>
      </w:pPr>
      <w:r>
        <w:t>Российской Федерации</w:t>
      </w:r>
    </w:p>
    <w:p w:rsidR="008C5F8D" w:rsidRDefault="008C5F8D">
      <w:pPr>
        <w:pStyle w:val="ConsPlusNormal"/>
        <w:jc w:val="right"/>
      </w:pPr>
      <w:r>
        <w:t>от 15 августа 2012 г. N 89н</w:t>
      </w:r>
    </w:p>
    <w:p w:rsidR="008C5F8D" w:rsidRDefault="008C5F8D">
      <w:pPr>
        <w:pStyle w:val="ConsPlusNormal"/>
        <w:jc w:val="center"/>
      </w:pPr>
    </w:p>
    <w:p w:rsidR="008C5F8D" w:rsidRDefault="008C5F8D">
      <w:pPr>
        <w:pStyle w:val="ConsPlusTitle"/>
        <w:jc w:val="center"/>
      </w:pPr>
      <w:bookmarkStart w:id="3" w:name="Par133"/>
      <w:bookmarkEnd w:id="3"/>
      <w:r>
        <w:t>ПЕРЕЧЕНЬ</w:t>
      </w:r>
    </w:p>
    <w:p w:rsidR="008C5F8D" w:rsidRDefault="008C5F8D">
      <w:pPr>
        <w:pStyle w:val="ConsPlusTitle"/>
        <w:jc w:val="center"/>
      </w:pPr>
      <w:r>
        <w:t>МЕДИЦИНСКИХ ИЗДЕЛИЙ, ОТНОСЯЩИХСЯ К СРЕДСТВАМ ИЗМЕРЕНИЙ</w:t>
      </w:r>
    </w:p>
    <w:p w:rsidR="008C5F8D" w:rsidRDefault="008C5F8D">
      <w:pPr>
        <w:pStyle w:val="ConsPlusTitle"/>
        <w:jc w:val="center"/>
      </w:pPr>
      <w:r>
        <w:t>В СФЕРЕ ГОСУДАРСТВЕННОГО РЕГУЛИРОВАНИЯ ОБЕСПЕЧЕНИЯ ЕДИНСТВА</w:t>
      </w:r>
    </w:p>
    <w:p w:rsidR="008C5F8D" w:rsidRDefault="008C5F8D">
      <w:pPr>
        <w:pStyle w:val="ConsPlusTitle"/>
        <w:jc w:val="center"/>
      </w:pPr>
      <w:r>
        <w:t>ИЗМЕРЕНИЙ, В ОТНОШЕНИИ КОТОРЫХ ПРОВОДЯТСЯ ИСПЫТАНИЯ</w:t>
      </w:r>
    </w:p>
    <w:p w:rsidR="008C5F8D" w:rsidRDefault="008C5F8D">
      <w:pPr>
        <w:pStyle w:val="ConsPlusTitle"/>
        <w:jc w:val="center"/>
      </w:pPr>
      <w:r>
        <w:t>В ЦЕЛЯХ УТВЕРЖДЕНИЯ ТИПА СРЕДСТВ ИЗМЕРЕНИЙ</w:t>
      </w:r>
    </w:p>
    <w:p w:rsidR="008C5F8D" w:rsidRDefault="008C5F8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20"/>
        <w:gridCol w:w="3360"/>
        <w:gridCol w:w="2760"/>
      </w:tblGrid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Наименования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медицинских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 изделий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Медицинские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 характеристики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и величины, определяемые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с использованием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   измерений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Наименования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(единицы) измеряемых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  величин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Термометры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Температура тела человека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Температура (°C)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Весы медицинские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Вес (масса) человека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Масса (кг)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Ростомеры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Рост человека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Линейный размер (см)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Динамометры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Сила, развиваемая какой-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либо группой мышц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Сила (даН)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 xml:space="preserve"> 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Эргометры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Дозированная по мощности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физическая нагрузка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>Мощность механическая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(Вт)      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Тонометры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Значения систолического и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диастолического 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артериального давления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крови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Давление газа в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воздушной манжете с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регистрацией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интенсивности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микропульсаций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давления (мм рт. ст.)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Медицинские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изделия для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исследований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параметров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внешнего дыхания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(спирографы,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пневмотахографы и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др.)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Объемы и скорости потока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вдыхаемого (выдыхаемого)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воздуха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Объем газа (мл)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Скорость потока газа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(л/сек)   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Медицинские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изделия для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исследований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состава вдыхаемого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 выдыхаемого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воздуха (оксиметры,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капнометры,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алкометры)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Концентрации: кислорода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(оксиметрия), углекислого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газа (капнометрия), паров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этанола (алкометрия)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Процентное или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количественное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содержание кислорода,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углекислого газа,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паров этанола во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вдыхаемом и (или)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выдыхаемом воздухе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Наборы пробных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очковых линз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Отклонения характеристик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зрительного аппарата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(близорукость,  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дальнозоркость, 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косоглазие, астигматизм и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др.)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Оптическая сила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(дптр) и иные оптико-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физические величины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Аудиометры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Характеристики слухового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анализатора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Интенсивность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тестовых тональных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звуковых сигналов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(дБ) различной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частоты, при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воздушном и костном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звукопроведении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Дозиметры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клинические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универсальные для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лучевой терапии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Дозовые характеристики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фотонного и электронного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излучения при лучевой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терапии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Поглощенная доза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(Гр), мощность дозы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(Гр/с), энергия (МэВ)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излучения 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Дозиметры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рентгеновского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излучения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клинические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Дозовые характеристики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излучения при   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рентгенодиагностических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исследованиях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Поглощенная доза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(Гр), мощность дозы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(Гр/с), произведение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поглощенной дозы на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площадь пучка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излучения (сГр x см2)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Дозиметры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фотонного 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излучения для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радиационного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контроля на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рабочих местах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персонала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Дозовые характеристики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фотонного излучения на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рабочих местах персонала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Поглощенная доза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(мкЗв), мощность дозы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(мкЗв/час) фотонного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излучения 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Радиометры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клинические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Активность радиоактивных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препаратов, применяемых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для медико-биологических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исследований, диагностики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 лечения заболеваний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Радиоактивность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гамма-излучающих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радионуклидов (Бк,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Ки)                  </w:t>
            </w:r>
          </w:p>
        </w:tc>
      </w:tr>
      <w:tr w:rsidR="008C5F8D" w:rsidRPr="00B154C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Фотометры, 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спектрофотометры,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фотоколориметры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медицинские  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лабораторные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Концентрация веществ и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активность ферментов в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жидких биологических     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пробах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D" w:rsidRPr="00B154CB" w:rsidRDefault="008C5F8D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Оптическая плотность 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растворов исследуемых</w:t>
            </w:r>
            <w:r w:rsidRPr="00B154C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веществ (ед. ОП)     </w:t>
            </w:r>
          </w:p>
        </w:tc>
      </w:tr>
    </w:tbl>
    <w:p w:rsidR="008C5F8D" w:rsidRDefault="008C5F8D">
      <w:pPr>
        <w:pStyle w:val="ConsPlusNormal"/>
        <w:ind w:firstLine="540"/>
        <w:jc w:val="both"/>
        <w:rPr>
          <w:sz w:val="18"/>
          <w:szCs w:val="18"/>
        </w:rPr>
      </w:pPr>
    </w:p>
    <w:p w:rsidR="008C5F8D" w:rsidRDefault="008C5F8D">
      <w:pPr>
        <w:pStyle w:val="ConsPlusNormal"/>
        <w:ind w:firstLine="540"/>
        <w:jc w:val="both"/>
        <w:rPr>
          <w:sz w:val="18"/>
          <w:szCs w:val="18"/>
        </w:rPr>
      </w:pPr>
    </w:p>
    <w:p w:rsidR="008C5F8D" w:rsidRDefault="008C5F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C5F8D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D9" w:rsidRDefault="005B10D9">
      <w:pPr>
        <w:spacing w:after="0" w:line="240" w:lineRule="auto"/>
      </w:pPr>
      <w:r>
        <w:separator/>
      </w:r>
    </w:p>
  </w:endnote>
  <w:endnote w:type="continuationSeparator" w:id="0">
    <w:p w:rsidR="005B10D9" w:rsidRDefault="005B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8D" w:rsidRDefault="008C5F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C5F8D" w:rsidRPr="00B154C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F8D" w:rsidRPr="00B154CB" w:rsidRDefault="008C5F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F8D" w:rsidRPr="00B154CB" w:rsidRDefault="008C5F8D" w:rsidP="00B154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F8D" w:rsidRPr="00B154CB" w:rsidRDefault="008C5F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B154CB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50FB9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50FB9">
            <w:rPr>
              <w:rFonts w:ascii="Tahoma" w:eastAsiaTheme="minorEastAsia" w:hAnsi="Tahoma" w:cs="Tahoma"/>
              <w:noProof/>
              <w:sz w:val="20"/>
              <w:szCs w:val="20"/>
            </w:rPr>
            <w:t>5</w:t>
          </w:r>
          <w:r w:rsidRPr="00B154CB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D9" w:rsidRDefault="005B10D9">
      <w:pPr>
        <w:spacing w:after="0" w:line="240" w:lineRule="auto"/>
      </w:pPr>
      <w:r>
        <w:separator/>
      </w:r>
    </w:p>
  </w:footnote>
  <w:footnote w:type="continuationSeparator" w:id="0">
    <w:p w:rsidR="005B10D9" w:rsidRDefault="005B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B" w:rsidRDefault="00B154CB">
    <w:pPr>
      <w:pStyle w:val="a3"/>
    </w:pPr>
  </w:p>
  <w:p w:rsidR="008C5F8D" w:rsidRDefault="008C5F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35"/>
    <w:rsid w:val="00073E35"/>
    <w:rsid w:val="005B10D9"/>
    <w:rsid w:val="00750FB9"/>
    <w:rsid w:val="008C5F8D"/>
    <w:rsid w:val="00B1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15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C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15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4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356D2F26EC71FC45641FBEEEBAD7ACCEC99A23F821BBD8FC0726ED170BBDBF6E17YDGAH" TargetMode="External"/><Relationship Id="rId13" Type="http://schemas.openxmlformats.org/officeDocument/2006/relationships/hyperlink" Target="consultantplus://offline/ref=96D1356D2F26EC71FC45641FBEEEBAD7ACCECD9620F621BBD8FC0726ED170BBDBF6E17DA2BD3FF01YEG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D1356D2F26EC71FC45641FBEEEBAD7ACCFCC9B21F221BBD8FC0726ED170BBDBF6E17DA2BD3FC01YEG3H" TargetMode="External"/><Relationship Id="rId12" Type="http://schemas.openxmlformats.org/officeDocument/2006/relationships/hyperlink" Target="consultantplus://offline/ref=96D1356D2F26EC71FC45641FBEEEBAD7ACCECD9620F621BBD8FC0726ED170BBDBF6E17DA2BD3FE00YEG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1356D2F26EC71FC45641FBEEEBAD7ACCFCC9823F921BBD8FC0726ED170BBDBF6E17DA2BD3FA03YEG5H" TargetMode="External"/><Relationship Id="rId11" Type="http://schemas.openxmlformats.org/officeDocument/2006/relationships/hyperlink" Target="consultantplus://offline/ref=96D1356D2F26EC71FC45641FBEEEBAD7ACCFCC9720F021BBD8FC0726ED170BBDBF6E17DA2BD3FD07YEG2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D1356D2F26EC71FC45641FBEEEBAD7ACCEC99A23F821BBD8FC0726ED170BBDBF6E17YDG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1356D2F26EC71FC45641FBEEEBAD7ACCFCE9D25F921BBD8FC0726ED170BBDBF6E17DA2BD3FF06YEG0H" TargetMode="External"/><Relationship Id="rId14" Type="http://schemas.openxmlformats.org/officeDocument/2006/relationships/hyperlink" Target="consultantplus://offline/ref=96D1356D2F26EC71FC45641FBEEEBAD7ACCECD9620F621BBD8FC0726EDY1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2681</Words>
  <Characters>15713</Characters>
  <Application>Microsoft Office Word</Application>
  <DocSecurity>2</DocSecurity>
  <Lines>402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15.08.2012 N 89н"Об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</vt:lpstr>
    </vt:vector>
  </TitlesOfParts>
  <Company>ConsultantPlus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15.08.2012 N 89н"Об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</dc:title>
  <dc:subject>__skip</dc:subject>
  <dc:creator>__skip</dc:creator>
  <cp:lastModifiedBy>Маша</cp:lastModifiedBy>
  <cp:revision>2</cp:revision>
  <dcterms:created xsi:type="dcterms:W3CDTF">2014-09-15T02:50:00Z</dcterms:created>
  <dcterms:modified xsi:type="dcterms:W3CDTF">2014-09-15T02:50:00Z</dcterms:modified>
</cp:coreProperties>
</file>